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782307D7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361888">
        <w:rPr>
          <w:rFonts w:eastAsia="Univers-PL"/>
          <w:bCs/>
          <w:color w:val="auto"/>
          <w:lang w:eastAsia="pl-PL"/>
        </w:rPr>
        <w:t>dnia</w:t>
      </w:r>
      <w:r w:rsidR="0081414F" w:rsidRPr="00361888">
        <w:rPr>
          <w:rFonts w:eastAsia="Univers-PL"/>
          <w:bCs/>
          <w:color w:val="auto"/>
          <w:lang w:eastAsia="pl-PL"/>
        </w:rPr>
        <w:t xml:space="preserve"> </w:t>
      </w:r>
      <w:r w:rsidR="00507FBA">
        <w:rPr>
          <w:rFonts w:eastAsia="Univers-PL"/>
          <w:bCs/>
          <w:color w:val="auto"/>
          <w:lang w:eastAsia="pl-PL"/>
        </w:rPr>
        <w:t>2</w:t>
      </w:r>
      <w:r w:rsidR="00522922">
        <w:rPr>
          <w:rFonts w:eastAsia="Univers-PL"/>
          <w:bCs/>
          <w:color w:val="auto"/>
          <w:lang w:eastAsia="pl-PL"/>
        </w:rPr>
        <w:t>1</w:t>
      </w:r>
      <w:r w:rsidR="00E73241" w:rsidRPr="00361888">
        <w:rPr>
          <w:rFonts w:eastAsia="Univers-PL"/>
          <w:bCs/>
          <w:color w:val="auto"/>
          <w:lang w:eastAsia="pl-PL"/>
        </w:rPr>
        <w:t>.</w:t>
      </w:r>
      <w:r w:rsidR="00A7261C">
        <w:rPr>
          <w:rFonts w:eastAsia="Univers-PL"/>
          <w:bCs/>
          <w:color w:val="auto"/>
          <w:lang w:eastAsia="pl-PL"/>
        </w:rPr>
        <w:t>10</w:t>
      </w:r>
      <w:r w:rsidR="00A15F0E" w:rsidRPr="00361888">
        <w:rPr>
          <w:rFonts w:eastAsia="Univers-PL"/>
          <w:bCs/>
          <w:color w:val="auto"/>
          <w:lang w:eastAsia="pl-PL"/>
        </w:rPr>
        <w:t>.</w:t>
      </w:r>
      <w:r w:rsidR="00D660E8" w:rsidRPr="00361888">
        <w:rPr>
          <w:rFonts w:eastAsia="Univers-PL"/>
          <w:bCs/>
          <w:color w:val="auto"/>
          <w:lang w:eastAsia="pl-PL"/>
        </w:rPr>
        <w:t>202</w:t>
      </w:r>
      <w:r w:rsidR="00E908CA" w:rsidRPr="00361888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9B54092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522922" w:rsidRPr="00522922">
        <w:rPr>
          <w:rFonts w:eastAsia="Univers-PL"/>
          <w:b/>
          <w:bCs/>
          <w:lang w:eastAsia="pl-PL"/>
        </w:rPr>
        <w:t>DZP.26.2</w:t>
      </w:r>
      <w:r w:rsidR="00522922">
        <w:rPr>
          <w:rFonts w:eastAsia="Univers-PL"/>
          <w:b/>
          <w:bCs/>
          <w:lang w:eastAsia="pl-PL"/>
        </w:rPr>
        <w:t>5</w:t>
      </w:r>
      <w:r w:rsidR="00522922" w:rsidRPr="00522922">
        <w:rPr>
          <w:rFonts w:eastAsia="Univers-PL"/>
          <w:b/>
          <w:bCs/>
          <w:lang w:eastAsia="pl-PL"/>
        </w:rPr>
        <w:t>.2025.DN.</w:t>
      </w:r>
      <w:r w:rsidR="00522922">
        <w:rPr>
          <w:rFonts w:eastAsia="Univers-PL"/>
          <w:b/>
          <w:bCs/>
          <w:lang w:eastAsia="pl-PL"/>
        </w:rPr>
        <w:t>U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1452F2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7BE700E8" w:rsidR="008C135F" w:rsidRPr="001452F2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Paulina kaczor-Szkodny</w:t>
      </w:r>
    </w:p>
    <w:p w14:paraId="17C6AAC0" w14:textId="11FBA663" w:rsidR="00576D5D" w:rsidRPr="00A7261C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7261C" w:rsidRP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kaczor.</w:t>
      </w:r>
      <w:r w:rsid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paulina</w:t>
      </w:r>
      <w:r w:rsidR="00576D5D" w:rsidRP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732C3DB6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tel. </w:t>
      </w:r>
      <w:r w:rsid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692 084 231</w:t>
      </w:r>
    </w:p>
    <w:p w14:paraId="4F11CC66" w14:textId="77777777" w:rsidR="004D48B5" w:rsidRPr="00A7261C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E05F84" w:rsidRDefault="00937AB9" w:rsidP="00882983">
      <w:pPr>
        <w:pStyle w:val="Domylnie"/>
        <w:jc w:val="both"/>
      </w:pPr>
      <w:r w:rsidRPr="00E05F84">
        <w:t>Postępowanie prowadzone zgodnie z</w:t>
      </w:r>
      <w:r w:rsidRPr="00E05F84">
        <w:rPr>
          <w:rFonts w:eastAsia="Univers-PL"/>
          <w:bCs/>
        </w:rPr>
        <w:t xml:space="preserve"> obowiązującym u Zamawiającego Regulaminem udzielania zamówień </w:t>
      </w:r>
      <w:r w:rsidR="00AC7401" w:rsidRPr="00E05F84">
        <w:rPr>
          <w:rFonts w:eastAsia="Calibri"/>
          <w:color w:val="auto"/>
          <w:sz w:val="22"/>
          <w:szCs w:val="22"/>
        </w:rPr>
        <w:t>dotyczących działalności naukowej IMW</w:t>
      </w:r>
      <w:r w:rsidRPr="00E05F84">
        <w:rPr>
          <w:rFonts w:eastAsia="Univers-PL"/>
          <w:bCs/>
        </w:rPr>
        <w:t>.</w:t>
      </w:r>
    </w:p>
    <w:p w14:paraId="529FA904" w14:textId="77777777" w:rsidR="00253C53" w:rsidRPr="00E05F84" w:rsidRDefault="00253C53">
      <w:pPr>
        <w:pStyle w:val="Domylnie"/>
        <w:jc w:val="both"/>
      </w:pPr>
    </w:p>
    <w:p w14:paraId="43810EAD" w14:textId="0D7E0C76" w:rsidR="00253C53" w:rsidRPr="006F2BD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E05F84">
        <w:rPr>
          <w:rFonts w:eastAsia="Univers-PL"/>
          <w:b/>
          <w:bCs/>
          <w:lang w:eastAsia="pl-PL"/>
        </w:rPr>
        <w:t xml:space="preserve">OPIS </w:t>
      </w:r>
      <w:r w:rsidRPr="006F2BD5">
        <w:rPr>
          <w:rFonts w:eastAsia="Univers-PL"/>
          <w:b/>
          <w:bCs/>
          <w:lang w:eastAsia="pl-PL"/>
        </w:rPr>
        <w:t>PRZEDMIOTU ZAMÓWIENIA.</w:t>
      </w:r>
    </w:p>
    <w:p w14:paraId="640E2707" w14:textId="56F6A95E" w:rsidR="0068581D" w:rsidRPr="0068581D" w:rsidRDefault="00FD6F9B" w:rsidP="0068581D">
      <w:pPr>
        <w:pStyle w:val="Domylnie"/>
        <w:widowControl w:val="0"/>
        <w:textAlignment w:val="baseline"/>
        <w:rPr>
          <w:b/>
          <w:bCs/>
          <w:color w:val="auto"/>
        </w:rPr>
      </w:pPr>
      <w:r>
        <w:rPr>
          <w:b/>
          <w:bCs/>
          <w:color w:val="auto"/>
        </w:rPr>
        <w:t>Realizacja badań sondażowych</w:t>
      </w:r>
      <w:r w:rsidR="00AB6F8E">
        <w:rPr>
          <w:b/>
          <w:bCs/>
          <w:color w:val="auto"/>
        </w:rPr>
        <w:t xml:space="preserve"> </w:t>
      </w:r>
      <w:r w:rsidR="0068581D">
        <w:rPr>
          <w:b/>
          <w:bCs/>
          <w:color w:val="auto"/>
        </w:rPr>
        <w:t xml:space="preserve">na ogólnopolskiej próbie </w:t>
      </w:r>
      <w:r w:rsidR="0068581D" w:rsidRPr="0068581D">
        <w:rPr>
          <w:b/>
          <w:bCs/>
          <w:color w:val="auto"/>
        </w:rPr>
        <w:t>w ramach projektu finansowanego ze środków NCN, w konkursie Miniatrura-8, zgodnie z poniższym opisem.</w:t>
      </w:r>
    </w:p>
    <w:p w14:paraId="0DFC174E" w14:textId="77777777" w:rsidR="0068581D" w:rsidRPr="0068581D" w:rsidRDefault="0068581D" w:rsidP="0068581D">
      <w:pPr>
        <w:pStyle w:val="Domylnie"/>
        <w:widowControl w:val="0"/>
        <w:textAlignment w:val="baseline"/>
        <w:rPr>
          <w:b/>
          <w:bCs/>
          <w:color w:val="auto"/>
        </w:rPr>
      </w:pPr>
    </w:p>
    <w:p w14:paraId="536C3A2E" w14:textId="53238F80" w:rsid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Opis zapytania: Realizacja badań sondażowych, metodą CAWI wspomaganą metodą CATI, które obejmą 385 osób - mieszkańców wsi (próba ogólnopolska, reprezentatywna). Koszt obejmuje rekrutację uczestników badania, realizację badania,</w:t>
      </w:r>
      <w:r w:rsidR="009C7986">
        <w:rPr>
          <w:bCs/>
          <w:color w:val="auto"/>
        </w:rPr>
        <w:t xml:space="preserve"> </w:t>
      </w:r>
      <w:r w:rsidRPr="0068581D">
        <w:rPr>
          <w:bCs/>
          <w:color w:val="auto"/>
        </w:rPr>
        <w:t>przygotowanie bazy EXCEL i CSV z wynikami badania, analizę statystyczną.</w:t>
      </w:r>
    </w:p>
    <w:p w14:paraId="3CFC897E" w14:textId="77777777" w:rsidR="00D90C63" w:rsidRDefault="00D90C63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2752241C" w14:textId="77777777" w:rsidR="00D90C63" w:rsidRDefault="00D90C63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>
        <w:rPr>
          <w:bCs/>
          <w:color w:val="auto"/>
        </w:rPr>
        <w:t xml:space="preserve">Zamówienie wykonane zostanie z wykorzystaniem narzędzia badawczego dostarczonego przez Zamawiającego (załącznik nr 2). </w:t>
      </w:r>
    </w:p>
    <w:p w14:paraId="3F33791F" w14:textId="3E8EEA90" w:rsidR="00D90C63" w:rsidRPr="00D90C63" w:rsidRDefault="00D90C63" w:rsidP="009C7986">
      <w:pPr>
        <w:pStyle w:val="Domylnie"/>
        <w:widowControl w:val="0"/>
        <w:jc w:val="both"/>
        <w:textAlignment w:val="baseline"/>
        <w:rPr>
          <w:bCs/>
          <w:color w:val="auto"/>
          <w:u w:val="single"/>
        </w:rPr>
      </w:pPr>
      <w:r w:rsidRPr="00D90C63">
        <w:rPr>
          <w:u w:val="single"/>
        </w:rPr>
        <w:t>Narzędzie podzielone zostało na 2 grupy: dla personelu medycznego oraz osób niebędących medykami. Wykorzystanie narzędzia skierowanego do grupy medyków jest fakultatywne i nie wpływa na ocenę oferty.</w:t>
      </w:r>
    </w:p>
    <w:p w14:paraId="7A00E288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0EFF63DC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Tytuł: Postawy mieszkańców wsi wobec szczepień ochronnych przeciw grypie z uwzględnieniem pandemii SARS-CoV-2</w:t>
      </w:r>
    </w:p>
    <w:p w14:paraId="76A6AA56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Rodzaj działania naukowego planowanego do realizacji - badania wstępne/pilotażowe</w:t>
      </w:r>
    </w:p>
    <w:p w14:paraId="72E1A704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55D1355E" w14:textId="3A069D6F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Cel Badania: Celem badania jest walidacja narzędzia badawczego do analizy postaw </w:t>
      </w:r>
      <w:r w:rsidRPr="0068581D">
        <w:rPr>
          <w:bCs/>
          <w:color w:val="auto"/>
        </w:rPr>
        <w:lastRenderedPageBreak/>
        <w:t xml:space="preserve">mieszkańców wsi wobec szczepień ochronnych przeciw grypie z uwzględnieniem pandemii SARS-CoV-2. </w:t>
      </w:r>
      <w:r w:rsidR="009C7986">
        <w:rPr>
          <w:bCs/>
          <w:color w:val="auto"/>
        </w:rPr>
        <w:t xml:space="preserve">a następnie </w:t>
      </w:r>
      <w:r w:rsidRPr="0068581D">
        <w:rPr>
          <w:bCs/>
          <w:color w:val="auto"/>
        </w:rPr>
        <w:t>przeprowadzenie badań ogólnopolskich na reprezentatywnej próbie.</w:t>
      </w:r>
    </w:p>
    <w:p w14:paraId="2AD27189" w14:textId="77777777" w:rsidR="009C7986" w:rsidRDefault="009C7986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55F94D29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Metodologia</w:t>
      </w:r>
    </w:p>
    <w:p w14:paraId="5811FAF4" w14:textId="675A5F96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Metoda: CAWI i</w:t>
      </w:r>
      <w:r w:rsidR="009C7986">
        <w:rPr>
          <w:bCs/>
          <w:color w:val="auto"/>
        </w:rPr>
        <w:t>/lub</w:t>
      </w:r>
      <w:r w:rsidRPr="0068581D">
        <w:rPr>
          <w:bCs/>
          <w:color w:val="auto"/>
        </w:rPr>
        <w:t xml:space="preserve"> CATI</w:t>
      </w:r>
    </w:p>
    <w:p w14:paraId="44D55368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Próba:</w:t>
      </w:r>
    </w:p>
    <w:p w14:paraId="46EDA4C8" w14:textId="593F3EE8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Liczba Respondentów: 385 osób.</w:t>
      </w:r>
    </w:p>
    <w:p w14:paraId="25D76AFE" w14:textId="38DFA3EC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Populacja: Mieszkańcy wsi z całej Polski.</w:t>
      </w:r>
    </w:p>
    <w:p w14:paraId="5430600C" w14:textId="31B4BD7F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Charakterystyka Próby: </w:t>
      </w:r>
      <w:r w:rsidR="009C7986">
        <w:rPr>
          <w:bCs/>
          <w:color w:val="auto"/>
        </w:rPr>
        <w:t>r</w:t>
      </w:r>
      <w:r w:rsidRPr="0068581D">
        <w:rPr>
          <w:bCs/>
          <w:color w:val="auto"/>
        </w:rPr>
        <w:t>eprezentatywna pod względem demograficznym, uwzględniająca zmienne takie jak wiek, płeć, wykształcenie i region geograficzny.</w:t>
      </w:r>
    </w:p>
    <w:p w14:paraId="5EE19B07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10054040" w14:textId="77777777" w:rsid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Pilotaż: Testowanie ankiety na małej grupie respondentów w celu weryfikacji jasności pytań i technicznej sprawności narzędzi badawczych.</w:t>
      </w:r>
    </w:p>
    <w:p w14:paraId="347E8F86" w14:textId="4A55C6E3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Rekrutacja Respondentów: Dobór próby w sposób losowy, z uwzględnieniem struktury demograficznej mieszkańców wsi.</w:t>
      </w:r>
    </w:p>
    <w:p w14:paraId="7654CAF6" w14:textId="57BBD093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Przeprowadzenie Badania:</w:t>
      </w:r>
    </w:p>
    <w:p w14:paraId="2DFB43EB" w14:textId="3E728DCC" w:rsidR="0068581D" w:rsidRPr="0068581D" w:rsidRDefault="0068581D" w:rsidP="009C7986">
      <w:pPr>
        <w:pStyle w:val="Domylnie"/>
        <w:widowControl w:val="0"/>
        <w:numPr>
          <w:ilvl w:val="1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CAWI: Dystrybucja ankiety internetowej, umożliwiającej samodzielne wypełnienie przez respondentów.</w:t>
      </w:r>
    </w:p>
    <w:p w14:paraId="1B694E4A" w14:textId="387874BC" w:rsidR="0068581D" w:rsidRPr="0068581D" w:rsidRDefault="0068581D" w:rsidP="009C7986">
      <w:pPr>
        <w:pStyle w:val="Domylnie"/>
        <w:widowControl w:val="0"/>
        <w:numPr>
          <w:ilvl w:val="1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CATI: Realizacja wywiadów telefonicznych dla respondentów, którzy nie mają dostępu do </w:t>
      </w:r>
      <w:proofErr w:type="spellStart"/>
      <w:r w:rsidRPr="0068581D">
        <w:rPr>
          <w:bCs/>
          <w:color w:val="auto"/>
        </w:rPr>
        <w:t>internetu</w:t>
      </w:r>
      <w:proofErr w:type="spellEnd"/>
      <w:r w:rsidRPr="0068581D">
        <w:rPr>
          <w:bCs/>
          <w:color w:val="auto"/>
        </w:rPr>
        <w:t xml:space="preserve"> lub preferują tę formę kontaktu.</w:t>
      </w:r>
    </w:p>
    <w:p w14:paraId="31ED1E09" w14:textId="4A0A46E2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Analiza Danych: Statystyczna analiza zebranych odpowiedzi (przygotowanie bazy wraz z obliczeniami), weryfikacja reprezentatywności i interpretacja wyników.</w:t>
      </w:r>
    </w:p>
    <w:p w14:paraId="61DCC0D7" w14:textId="7B4FA063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Raportowanie: Sporządzenie wstępnego raportu z wynikami badania</w:t>
      </w:r>
      <w:r w:rsidR="009C7986">
        <w:rPr>
          <w:bCs/>
          <w:color w:val="auto"/>
        </w:rPr>
        <w:t xml:space="preserve"> (</w:t>
      </w:r>
      <w:r w:rsidR="009C7986">
        <w:t>surowa baza .</w:t>
      </w:r>
      <w:proofErr w:type="spellStart"/>
      <w:r w:rsidR="009C7986">
        <w:t>sav</w:t>
      </w:r>
      <w:proofErr w:type="spellEnd"/>
      <w:r w:rsidR="009C7986">
        <w:t xml:space="preserve"> + raport z badania wyniki Total, wstępna analiza istotności).</w:t>
      </w:r>
    </w:p>
    <w:p w14:paraId="30126BC4" w14:textId="77777777" w:rsidR="004465CB" w:rsidRDefault="004465CB" w:rsidP="009C7986">
      <w:pPr>
        <w:pStyle w:val="Domylnie"/>
        <w:widowControl w:val="0"/>
        <w:jc w:val="both"/>
        <w:textAlignment w:val="baseline"/>
        <w:rPr>
          <w:color w:val="auto"/>
        </w:rPr>
      </w:pPr>
    </w:p>
    <w:p w14:paraId="322A65C8" w14:textId="26BF44B9" w:rsidR="009C7986" w:rsidRPr="0068581D" w:rsidRDefault="009C7986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>
        <w:rPr>
          <w:bCs/>
          <w:color w:val="auto"/>
        </w:rPr>
        <w:t>W</w:t>
      </w:r>
      <w:r w:rsidRPr="009C7986">
        <w:rPr>
          <w:bCs/>
          <w:color w:val="auto"/>
        </w:rPr>
        <w:t xml:space="preserve"> wyceni</w:t>
      </w:r>
      <w:r>
        <w:rPr>
          <w:bCs/>
          <w:color w:val="auto"/>
        </w:rPr>
        <w:t xml:space="preserve">e uwzględnić dodatkowo pilotaż </w:t>
      </w:r>
      <w:r w:rsidRPr="009C7986">
        <w:rPr>
          <w:bCs/>
          <w:color w:val="auto"/>
        </w:rPr>
        <w:t>na mniejszych próbach (na przykład 10/20 wywiadach)</w:t>
      </w:r>
      <w:r>
        <w:rPr>
          <w:bCs/>
          <w:color w:val="auto"/>
        </w:rPr>
        <w:t>.</w:t>
      </w:r>
    </w:p>
    <w:p w14:paraId="648735DE" w14:textId="77777777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</w:p>
    <w:p w14:paraId="7A27D0EE" w14:textId="6F0D2BE8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  <w:r>
        <w:t>Czas trwania jednego badania wynosi ok. 15 minut.</w:t>
      </w:r>
    </w:p>
    <w:p w14:paraId="4D2A2F98" w14:textId="6670A897" w:rsidR="0068581D" w:rsidRDefault="0068581D" w:rsidP="009C7986">
      <w:pPr>
        <w:pStyle w:val="Domylnie"/>
        <w:widowControl w:val="0"/>
        <w:jc w:val="both"/>
        <w:textAlignment w:val="baseline"/>
        <w:rPr>
          <w:color w:val="auto"/>
        </w:rPr>
      </w:pPr>
      <w:r>
        <w:rPr>
          <w:color w:val="auto"/>
        </w:rPr>
        <w:t>Narzędzie badawcze posiada pozytywną opinię Komisji Bioetycznej</w:t>
      </w:r>
    </w:p>
    <w:p w14:paraId="38C8E250" w14:textId="77777777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</w:p>
    <w:p w14:paraId="0D9EE391" w14:textId="193B9EA9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  <w:r>
        <w:rPr>
          <w:color w:val="auto"/>
        </w:rPr>
        <w:t xml:space="preserve">Zamawiający zastrzega sobie możliwość przeprowadzenia zamówienia uzupełniającego pod kątem rozszerzenia zakresu analizy statystycznej, bez konieczności ogłaszania nowego postępowania. Zamówienie uzupełniające przeprowadzone zostanie drogą mailową po otrzymaniu wstępnych wyników badań. </w:t>
      </w:r>
    </w:p>
    <w:p w14:paraId="2F8645A2" w14:textId="77777777" w:rsidR="0068581D" w:rsidRPr="004A795F" w:rsidRDefault="0068581D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37122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37122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2C31C3E7" w:rsidR="00C901D8" w:rsidRDefault="001452F2" w:rsidP="00CE45A6">
      <w:pPr>
        <w:pStyle w:val="Domylnie"/>
        <w:jc w:val="both"/>
        <w:rPr>
          <w:b/>
          <w:bCs/>
          <w:color w:val="auto"/>
        </w:rPr>
      </w:pPr>
      <w:r w:rsidRPr="001452F2">
        <w:rPr>
          <w:b/>
          <w:bCs/>
          <w:color w:val="auto"/>
        </w:rPr>
        <w:t xml:space="preserve">Do </w:t>
      </w:r>
      <w:r w:rsidR="00FD6F9B">
        <w:rPr>
          <w:b/>
          <w:bCs/>
          <w:color w:val="auto"/>
        </w:rPr>
        <w:t>20</w:t>
      </w:r>
      <w:r w:rsidRPr="001452F2">
        <w:rPr>
          <w:b/>
          <w:bCs/>
          <w:color w:val="auto"/>
        </w:rPr>
        <w:t xml:space="preserve"> </w:t>
      </w:r>
      <w:r w:rsidR="00FD6F9B">
        <w:rPr>
          <w:b/>
          <w:bCs/>
          <w:color w:val="auto"/>
        </w:rPr>
        <w:t>listopada</w:t>
      </w:r>
      <w:r w:rsidRPr="001452F2">
        <w:rPr>
          <w:b/>
          <w:bCs/>
          <w:color w:val="auto"/>
        </w:rPr>
        <w:t xml:space="preserve"> od daty złożenia zamówienia</w:t>
      </w:r>
      <w:r w:rsidR="0076538A" w:rsidRPr="00576D5D">
        <w:rPr>
          <w:b/>
          <w:bCs/>
          <w:color w:val="auto"/>
        </w:rPr>
        <w:t>.</w:t>
      </w:r>
    </w:p>
    <w:p w14:paraId="4673A49B" w14:textId="77777777" w:rsidR="00CE45A6" w:rsidRPr="00C901D8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Univers-PL"/>
          <w:b/>
          <w:bCs/>
          <w:lang w:eastAsia="pl-PL"/>
        </w:rPr>
        <w:t>OPIS SPOSOBU PRZYGOTOWANIA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lastRenderedPageBreak/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19FAD21A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lastRenderedPageBreak/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8D513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przeznaczyć na sfinansowanie zamówienia, chyba że będzie mógł tę kwotę zwiększyć do ceny </w:t>
      </w:r>
      <w:r w:rsidR="00882983" w:rsidRPr="008D5131">
        <w:rPr>
          <w:color w:val="00000A"/>
        </w:rPr>
        <w:t>najkorzystniejszej oferty;</w:t>
      </w:r>
    </w:p>
    <w:p w14:paraId="27B2088D" w14:textId="77777777" w:rsidR="00882983" w:rsidRPr="008D513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>Zamawiający zrezygnuje z zakupu;</w:t>
      </w:r>
    </w:p>
    <w:p w14:paraId="73FEBE92" w14:textId="77777777" w:rsidR="00882983" w:rsidRPr="00361888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 xml:space="preserve">postępowanie obarczone </w:t>
      </w:r>
      <w:r w:rsidRPr="00361888">
        <w:rPr>
          <w:color w:val="00000A"/>
        </w:rPr>
        <w:t xml:space="preserve">jest wadą, która uniemożliwia zawarcie umowy zgodnie z prawem. </w:t>
      </w:r>
    </w:p>
    <w:p w14:paraId="0EE1CD78" w14:textId="77777777" w:rsidR="00253C53" w:rsidRPr="00361888" w:rsidRDefault="00253C53">
      <w:pPr>
        <w:pStyle w:val="Domylnie"/>
      </w:pPr>
    </w:p>
    <w:p w14:paraId="079433C3" w14:textId="164438AB" w:rsidR="00E029CA" w:rsidRPr="00361888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361888">
        <w:rPr>
          <w:b/>
          <w:bCs/>
          <w:color w:val="00000A"/>
        </w:rPr>
        <w:t>TERMIN I FORMA SKŁADANIA OFERT</w:t>
      </w:r>
      <w:r w:rsidR="008B7DA2" w:rsidRPr="00361888">
        <w:rPr>
          <w:b/>
          <w:bCs/>
          <w:color w:val="00000A"/>
        </w:rPr>
        <w:t xml:space="preserve"> </w:t>
      </w:r>
    </w:p>
    <w:p w14:paraId="5B927809" w14:textId="0C1FF0A0" w:rsidR="00882983" w:rsidRPr="00361888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361888">
        <w:rPr>
          <w:rFonts w:eastAsia="Univers-PL"/>
          <w:bCs/>
          <w:lang w:eastAsia="pl-PL"/>
        </w:rPr>
        <w:t xml:space="preserve">Oferty należy </w:t>
      </w:r>
      <w:r w:rsidR="005225D1" w:rsidRPr="00361888">
        <w:rPr>
          <w:rFonts w:eastAsia="Univers-PL"/>
          <w:b/>
          <w:bCs/>
          <w:lang w:eastAsia="pl-PL"/>
        </w:rPr>
        <w:t>w terminie</w:t>
      </w:r>
      <w:r w:rsidR="007E4F1D" w:rsidRPr="00361888">
        <w:rPr>
          <w:rFonts w:eastAsia="Univers-PL"/>
          <w:b/>
          <w:bCs/>
          <w:color w:val="auto"/>
          <w:lang w:eastAsia="pl-PL"/>
        </w:rPr>
        <w:t xml:space="preserve"> do dnia </w:t>
      </w:r>
      <w:r w:rsidR="0049584B">
        <w:rPr>
          <w:rFonts w:eastAsia="Univers-PL"/>
          <w:b/>
          <w:bCs/>
          <w:color w:val="auto"/>
          <w:lang w:eastAsia="pl-PL"/>
        </w:rPr>
        <w:t>2</w:t>
      </w:r>
      <w:r w:rsidR="00522922">
        <w:rPr>
          <w:rFonts w:eastAsia="Univers-PL"/>
          <w:b/>
          <w:bCs/>
          <w:color w:val="auto"/>
          <w:lang w:eastAsia="pl-PL"/>
        </w:rPr>
        <w:t>3</w:t>
      </w:r>
      <w:r w:rsidR="0076538A" w:rsidRPr="00361888">
        <w:rPr>
          <w:rFonts w:eastAsia="Univers-PL"/>
          <w:b/>
          <w:bCs/>
          <w:color w:val="auto"/>
          <w:lang w:eastAsia="pl-PL"/>
        </w:rPr>
        <w:t>.</w:t>
      </w:r>
      <w:r w:rsidR="007461F4">
        <w:rPr>
          <w:rFonts w:eastAsia="Univers-PL"/>
          <w:b/>
          <w:bCs/>
          <w:color w:val="auto"/>
          <w:lang w:eastAsia="pl-PL"/>
        </w:rPr>
        <w:t>1</w:t>
      </w:r>
      <w:r w:rsidR="00E908CA" w:rsidRPr="00361888">
        <w:rPr>
          <w:rFonts w:eastAsia="Univers-PL"/>
          <w:b/>
          <w:bCs/>
          <w:color w:val="auto"/>
          <w:lang w:eastAsia="pl-PL"/>
        </w:rPr>
        <w:t>0</w:t>
      </w:r>
      <w:r w:rsidR="0076538A" w:rsidRPr="00361888">
        <w:rPr>
          <w:rFonts w:eastAsia="Univers-PL"/>
          <w:b/>
          <w:bCs/>
          <w:color w:val="auto"/>
          <w:lang w:eastAsia="pl-PL"/>
        </w:rPr>
        <w:t>.202</w:t>
      </w:r>
      <w:r w:rsidR="00E908CA" w:rsidRPr="00361888">
        <w:rPr>
          <w:rFonts w:eastAsia="Univers-PL"/>
          <w:b/>
          <w:bCs/>
          <w:color w:val="auto"/>
          <w:lang w:eastAsia="pl-PL"/>
        </w:rPr>
        <w:t>5</w:t>
      </w:r>
      <w:r w:rsidR="0076538A" w:rsidRPr="00361888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361888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8D5131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C26CEB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przesłać w wersji papierowej na adres: </w:t>
      </w:r>
      <w:r w:rsidRPr="008D5131">
        <w:rPr>
          <w:rFonts w:eastAsia="Univers-PL"/>
          <w:b/>
          <w:bCs/>
          <w:lang w:eastAsia="pl-PL"/>
        </w:rPr>
        <w:t>Instytut Medycyny</w:t>
      </w:r>
      <w:r w:rsidRPr="00937AB9">
        <w:rPr>
          <w:rFonts w:eastAsia="Univers-PL"/>
          <w:b/>
          <w:bCs/>
          <w:lang w:eastAsia="pl-PL"/>
        </w:rPr>
        <w:t xml:space="preserve"> Wsi im. Witolda Chodźki,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ul. Jaczewskiego</w:t>
      </w:r>
      <w:r w:rsidR="008B7DA2">
        <w:rPr>
          <w:rFonts w:eastAsia="Univers-PL"/>
          <w:b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20-090 Lublin,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z dopiskiem</w:t>
      </w:r>
      <w:r w:rsidRPr="00937AB9">
        <w:rPr>
          <w:rFonts w:eastAsia="Univers-PL"/>
          <w:bCs/>
          <w:lang w:eastAsia="pl-PL"/>
        </w:rPr>
        <w:t xml:space="preserve"> K</w:t>
      </w:r>
      <w:r w:rsidRPr="00937AB9">
        <w:rPr>
          <w:rFonts w:eastAsia="Univers-PL"/>
          <w:b/>
          <w:bCs/>
          <w:lang w:eastAsia="pl-PL"/>
        </w:rPr>
        <w:t>ancelaria oraz wskazaniem numeru postępowania na kopercie</w:t>
      </w:r>
      <w:r w:rsidRPr="00937AB9">
        <w:rPr>
          <w:rFonts w:eastAsia="Univers-PL"/>
          <w:bCs/>
          <w:lang w:eastAsia="pl-PL"/>
        </w:rPr>
        <w:t xml:space="preserve"> lub</w:t>
      </w:r>
    </w:p>
    <w:p w14:paraId="31AB80F5" w14:textId="63CCCE12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C26CEB">
        <w:rPr>
          <w:rFonts w:eastAsia="Univers-PL"/>
          <w:bCs/>
        </w:rPr>
        <w:t>przesłać na adres</w:t>
      </w:r>
      <w:r w:rsidRPr="00576D5D">
        <w:rPr>
          <w:rFonts w:eastAsia="Univers-PL"/>
          <w:bCs/>
        </w:rPr>
        <w:t>:</w:t>
      </w:r>
      <w:r w:rsidRPr="00576D5D">
        <w:rPr>
          <w:rFonts w:eastAsia="Univers-PL"/>
          <w:b/>
          <w:bCs/>
        </w:rPr>
        <w:t xml:space="preserve"> </w:t>
      </w:r>
      <w:r w:rsidR="0049584B">
        <w:rPr>
          <w:rFonts w:eastAsia="Univers-PL"/>
        </w:rPr>
        <w:t>kaczor.paulina</w:t>
      </w:r>
      <w:r w:rsidR="00AB6F8E" w:rsidRPr="00AB6F8E">
        <w:rPr>
          <w:rFonts w:eastAsia="Univers-PL"/>
        </w:rPr>
        <w:t xml:space="preserve">@imw.lublin.pl </w:t>
      </w:r>
      <w:r w:rsidRPr="00576D5D">
        <w:rPr>
          <w:rFonts w:eastAsia="Univers-PL"/>
          <w:b/>
          <w:bCs/>
        </w:rPr>
        <w:t>ofertę</w:t>
      </w:r>
      <w:r w:rsidRPr="00C26CEB">
        <w:rPr>
          <w:rFonts w:eastAsia="Univers-PL"/>
          <w:b/>
          <w:bCs/>
        </w:rPr>
        <w:t xml:space="preserve"> w formie lub postaci elektronicznej (forma elektroniczna - dokument podpisany podpisem </w:t>
      </w:r>
      <w:r w:rsidRPr="00C26CEB">
        <w:rPr>
          <w:rFonts w:eastAsia="Univers-PL"/>
          <w:b/>
          <w:bCs/>
        </w:rPr>
        <w:lastRenderedPageBreak/>
        <w:t>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4FCC6014" w14:textId="102388BF" w:rsidR="0068581D" w:rsidRPr="00937AB9" w:rsidRDefault="0068581D" w:rsidP="00882983">
      <w:pPr>
        <w:pStyle w:val="Domylnie"/>
      </w:pPr>
      <w:r>
        <w:t xml:space="preserve">       Załącznik 2 – </w:t>
      </w:r>
      <w:r w:rsidR="00522922">
        <w:t>N</w:t>
      </w:r>
      <w:r>
        <w:t>arzędzie badawcze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221F" w14:textId="77777777" w:rsidR="0040488C" w:rsidRDefault="0040488C" w:rsidP="00253C53">
      <w:pPr>
        <w:spacing w:after="0" w:line="240" w:lineRule="auto"/>
      </w:pPr>
      <w:r>
        <w:separator/>
      </w:r>
    </w:p>
  </w:endnote>
  <w:endnote w:type="continuationSeparator" w:id="0">
    <w:p w14:paraId="719A8B14" w14:textId="77777777" w:rsidR="0040488C" w:rsidRDefault="0040488C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63C6" w14:textId="77777777" w:rsidR="0040488C" w:rsidRDefault="0040488C" w:rsidP="00253C53">
      <w:pPr>
        <w:spacing w:after="0" w:line="240" w:lineRule="auto"/>
      </w:pPr>
      <w:r>
        <w:separator/>
      </w:r>
    </w:p>
  </w:footnote>
  <w:footnote w:type="continuationSeparator" w:id="0">
    <w:p w14:paraId="40B1B10F" w14:textId="77777777" w:rsidR="0040488C" w:rsidRDefault="0040488C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EA"/>
    <w:multiLevelType w:val="hybridMultilevel"/>
    <w:tmpl w:val="F6467C56"/>
    <w:lvl w:ilvl="0" w:tplc="D68C50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7677"/>
    <w:multiLevelType w:val="hybridMultilevel"/>
    <w:tmpl w:val="1548A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C5FFC"/>
    <w:multiLevelType w:val="hybridMultilevel"/>
    <w:tmpl w:val="197894D0"/>
    <w:lvl w:ilvl="0" w:tplc="D68C50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C123F"/>
    <w:multiLevelType w:val="hybridMultilevel"/>
    <w:tmpl w:val="C3D2CCAC"/>
    <w:lvl w:ilvl="0" w:tplc="D68C50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00071310">
    <w:abstractNumId w:val="11"/>
  </w:num>
  <w:num w:numId="2" w16cid:durableId="219444902">
    <w:abstractNumId w:val="20"/>
  </w:num>
  <w:num w:numId="3" w16cid:durableId="822309318">
    <w:abstractNumId w:val="19"/>
  </w:num>
  <w:num w:numId="4" w16cid:durableId="1552304076">
    <w:abstractNumId w:val="22"/>
  </w:num>
  <w:num w:numId="5" w16cid:durableId="527720237">
    <w:abstractNumId w:val="23"/>
  </w:num>
  <w:num w:numId="6" w16cid:durableId="434374023">
    <w:abstractNumId w:val="3"/>
  </w:num>
  <w:num w:numId="7" w16cid:durableId="1320115577">
    <w:abstractNumId w:val="13"/>
  </w:num>
  <w:num w:numId="8" w16cid:durableId="653215175">
    <w:abstractNumId w:val="4"/>
  </w:num>
  <w:num w:numId="9" w16cid:durableId="1742672852">
    <w:abstractNumId w:val="2"/>
  </w:num>
  <w:num w:numId="10" w16cid:durableId="365300749">
    <w:abstractNumId w:val="1"/>
  </w:num>
  <w:num w:numId="11" w16cid:durableId="1564557982">
    <w:abstractNumId w:val="18"/>
  </w:num>
  <w:num w:numId="12" w16cid:durableId="767193952">
    <w:abstractNumId w:val="24"/>
  </w:num>
  <w:num w:numId="13" w16cid:durableId="753669582">
    <w:abstractNumId w:val="8"/>
  </w:num>
  <w:num w:numId="14" w16cid:durableId="2143303822">
    <w:abstractNumId w:val="12"/>
  </w:num>
  <w:num w:numId="15" w16cid:durableId="2072969666">
    <w:abstractNumId w:val="9"/>
  </w:num>
  <w:num w:numId="16" w16cid:durableId="514615910">
    <w:abstractNumId w:val="7"/>
  </w:num>
  <w:num w:numId="17" w16cid:durableId="1491409040">
    <w:abstractNumId w:val="6"/>
  </w:num>
  <w:num w:numId="18" w16cid:durableId="668096487">
    <w:abstractNumId w:val="10"/>
  </w:num>
  <w:num w:numId="19" w16cid:durableId="317539403">
    <w:abstractNumId w:val="15"/>
  </w:num>
  <w:num w:numId="20" w16cid:durableId="875653658">
    <w:abstractNumId w:val="27"/>
  </w:num>
  <w:num w:numId="21" w16cid:durableId="1057239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6032478">
    <w:abstractNumId w:val="14"/>
  </w:num>
  <w:num w:numId="23" w16cid:durableId="1973320830">
    <w:abstractNumId w:val="26"/>
  </w:num>
  <w:num w:numId="24" w16cid:durableId="843514617">
    <w:abstractNumId w:val="17"/>
  </w:num>
  <w:num w:numId="25" w16cid:durableId="531647949">
    <w:abstractNumId w:val="5"/>
  </w:num>
  <w:num w:numId="26" w16cid:durableId="1094670977">
    <w:abstractNumId w:val="25"/>
  </w:num>
  <w:num w:numId="27" w16cid:durableId="1006056173">
    <w:abstractNumId w:val="0"/>
  </w:num>
  <w:num w:numId="28" w16cid:durableId="2129396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3797"/>
    <w:rsid w:val="00317DD5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488C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9584B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07FBA"/>
    <w:rsid w:val="00510466"/>
    <w:rsid w:val="005225D1"/>
    <w:rsid w:val="00522922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8581D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D76CE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8729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C7986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261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73D7"/>
    <w:rsid w:val="00D90C63"/>
    <w:rsid w:val="00D921E4"/>
    <w:rsid w:val="00D92375"/>
    <w:rsid w:val="00D93EA4"/>
    <w:rsid w:val="00DA62B4"/>
    <w:rsid w:val="00DA6BB5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B5DF8"/>
    <w:rsid w:val="00FD6F9B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001B664E-6D9F-4231-8FB2-D6A01386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9CEF-FFB0-46D5-85AC-594623CE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2033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</cp:revision>
  <cp:lastPrinted>2021-10-12T13:07:00Z</cp:lastPrinted>
  <dcterms:created xsi:type="dcterms:W3CDTF">2025-10-20T11:25:00Z</dcterms:created>
  <dcterms:modified xsi:type="dcterms:W3CDTF">2025-10-21T12:04:00Z</dcterms:modified>
</cp:coreProperties>
</file>